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 письму Департамента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округа – Югры </w:t>
      </w:r>
      <w:r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рекомендации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/>
      <w:bookmarkStart w:id="0" w:name="_Hlk155586251"/>
      <w:r>
        <w:rPr>
          <w:rFonts w:ascii="Times New Roman" w:hAnsi="Times New Roman" w:cs="Times New Roman"/>
          <w:b/>
          <w:bCs/>
          <w:sz w:val="32"/>
          <w:szCs w:val="32"/>
        </w:rPr>
        <w:t xml:space="preserve">по созданию и функционированию системы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наставничества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сферы физической культуры и спорта </w:t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Ханты-Мансийского автономного округа-Югры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Авторы-составители:</w:t>
      </w:r>
      <w:r/>
    </w:p>
    <w:p>
      <w:pPr>
        <w:pStyle w:val="686"/>
        <w:numPr>
          <w:ilvl w:val="0"/>
          <w:numId w:val="11"/>
        </w:numPr>
        <w:ind w:left="426" w:hanging="6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Абрамов Э.Н., доцент Югорского государственного университета, </w:t>
      </w:r>
      <w:r>
        <w:rPr>
          <w:rFonts w:ascii="Times New Roman" w:hAnsi="Times New Roman" w:cs="Times New Roman"/>
          <w:sz w:val="24"/>
          <w:szCs w:val="24"/>
        </w:rPr>
        <w:t xml:space="preserve">научны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экспериментальной (инновационной)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«Разработка целевой модели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сфере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к.б.н., почётный работник образования РФ, почётный наставник Минобрнауки России</w:t>
      </w:r>
      <w:r/>
    </w:p>
    <w:p>
      <w:pPr>
        <w:pStyle w:val="686"/>
        <w:numPr>
          <w:ilvl w:val="0"/>
          <w:numId w:val="11"/>
        </w:numPr>
        <w:ind w:left="426" w:hanging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Крылович Н.В., начальник отдела координации деятельности и методического обеспечения организаций, осуществляющих подготовку спортивного резерва Центра спортивной подготовки сборных команд Югры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сертифицированный эксперт по аттестации педагогических работников организаций, осуществляющих образовательную деятельность на территории Ханты-Мансийского автономного округа – Югры, Отличник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исполнение: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3.5. </w:t>
      </w:r>
      <w:r>
        <w:rPr>
          <w:rFonts w:ascii="Times New Roman" w:hAnsi="Times New Roman" w:cs="Times New Roman"/>
          <w:sz w:val="28"/>
          <w:szCs w:val="28"/>
        </w:rPr>
        <w:t xml:space="preserve">протокола расширенного заседания коллегии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Ханты-Мансийского автономного округа-Югры</w:t>
      </w:r>
      <w:r>
        <w:rPr>
          <w:rFonts w:ascii="Times New Roman" w:hAnsi="Times New Roman" w:cs="Times New Roman"/>
          <w:sz w:val="28"/>
          <w:szCs w:val="28"/>
        </w:rPr>
        <w:t xml:space="preserve"> от 15 декабря 2023 года №1;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10 Комплекса мер по созданию системы наставничества в государственных организациях, подведомственных Департаменту физической культуры и спорта Ханты-Мансийского автономного округа-Югры, на 2024-2027 годы,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Ханты-Мансийского автономного округа-Югры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2023 года № 522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</w:t>
      </w:r>
      <w:r>
        <w:rPr>
          <w:rFonts w:ascii="Times New Roman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имеют целью оказание </w:t>
      </w:r>
      <w:bookmarkStart w:id="1" w:name="_Hlk128405583"/>
      <w:r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>
        <w:rPr>
          <w:rFonts w:ascii="Times New Roman" w:hAnsi="Times New Roman" w:cs="Times New Roman"/>
          <w:sz w:val="28"/>
          <w:szCs w:val="28"/>
        </w:rPr>
        <w:t xml:space="preserve">поддержки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сфере физической культуры и спорта на территории Ханты-Мансийского автономного округа-Югры в процессе создания и функционирования в них системы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направлены на реализацию: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21 Плана мероприя</w:t>
      </w:r>
      <w:r>
        <w:rPr>
          <w:rFonts w:ascii="Times New Roman" w:hAnsi="Times New Roman" w:cs="Times New Roman"/>
          <w:sz w:val="28"/>
          <w:szCs w:val="28"/>
        </w:rPr>
        <w:t xml:space="preserve">тий («дорожная карта») Концепции развития физической культуры и спорта в Ханты-Мансийском автономном округе – Югре на период до 2030 года, утвержденной распоряжением Правительства Ханты-Мансийского автономного округа – Югры от 24 декабря 2021 года № 725-рп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5 Комплекса мер, направленных на кадровое обеспечение сферы физической культуры и спорта Ханты-Мансийского автономного округа – Югры, утвержденного постановлением Правительства Ханты-Мансийского автономного округа – Югры от 15 июля 2022 года № 339-п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1"/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</w:t>
      </w:r>
      <w:r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положены </w:t>
      </w:r>
      <w:r>
        <w:rPr>
          <w:rFonts w:ascii="Times New Roman" w:hAnsi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экспериментальной (инновационной) площадк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«Разработка и внедрение целевой модели наставничества в сфере физической культуры и спорта», действующей в соответствии с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31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486</w:t>
      </w:r>
      <w:r>
        <w:rPr>
          <w:rFonts w:ascii="Times New Roman" w:hAnsi="Times New Roman" w:cs="Times New Roman"/>
          <w:sz w:val="28"/>
          <w:szCs w:val="28"/>
        </w:rPr>
        <w:t xml:space="preserve"> в редакции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спорта Российской Федерации от 23 июня 2023 года № 444 «О приз</w:t>
      </w:r>
      <w:r>
        <w:rPr>
          <w:rFonts w:ascii="Times New Roman" w:hAnsi="Times New Roman" w:cs="Times New Roman"/>
          <w:sz w:val="28"/>
          <w:szCs w:val="28"/>
        </w:rPr>
        <w:t xml:space="preserve">нании организаций федеральными экспериментальными (инновационными) площадками и о внесении изменений в отдельные положения приказов Министерства спорта Российской Федерации от 28 января 2020 года № 30, от 31 мая 2022 года № 486 и от 20 июля 2022 года № 60»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</w:t>
      </w:r>
      <w:r>
        <w:rPr>
          <w:rFonts w:ascii="Times New Roman" w:hAnsi="Times New Roman" w:cs="Times New Roman"/>
          <w:sz w:val="28"/>
          <w:szCs w:val="28"/>
        </w:rPr>
        <w:t xml:space="preserve">для цел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 xml:space="preserve">методических рекомендаций: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– государственная,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или частная организация, осуществляющая деятельность в области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спорта на территории Ханты-Мансийского автономного округа-Югры.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профессионального становления, развития и адаптации к квалифицированному исполнению работниками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</w:t>
      </w:r>
      <w:r>
        <w:rPr>
          <w:rFonts w:ascii="Times New Roman" w:hAnsi="Times New Roman" w:cs="Times New Roman"/>
          <w:sz w:val="28"/>
          <w:szCs w:val="28"/>
        </w:rPr>
        <w:t xml:space="preserve">ющая</w:t>
      </w:r>
      <w:r>
        <w:rPr>
          <w:rFonts w:ascii="Times New Roman" w:hAnsi="Times New Roman" w:cs="Times New Roman"/>
          <w:sz w:val="28"/>
          <w:szCs w:val="28"/>
        </w:rPr>
        <w:t xml:space="preserve"> собой целенаправленную деятельность наиболее опытных сотрудников организаций по оказанию помощи и поддержки лицам, в отношении которых осуществляется наставничество, в профессиональном становлении и развитии, по адаптации к исполнению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по повышению заинтересованности в высокой результативности профессиональной деятельности.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Наставник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специалист, осуществляющий руководство наставляемым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, на которого возложены дополнительные функции по осуществлению наставничества.</w:t>
      </w:r>
      <w:r/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Наставляемый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специалист, осуществляющи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под руководством наставника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Участниками наставничества являются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наставляемые специалисты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структурного подразделения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(в их отсутствие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уполномоченны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заместител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руководител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кадровая служба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в случае отсутствия в организации кадровой службы – должностное лицо, ответственное за ведение кадровой работы в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(далее – кадровая служба)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Настоящие методические рекомендации подлежат актуализации в течение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месяца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 момента принятия федеральных нормативных правовых актов, либо нормативных правовых актов Ханты-Мансийского автономного округа-Югры, регламентирующих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вопросы наставничества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или содержащих требования к организации наставничества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(наставникам)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может осуществ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ят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ся с применением сетевого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кластерного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 взаимодействия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между юридическими лицами в рамках соглашений о взаимодействии и сотрудничестве.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II. Цель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задачи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, функции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принципы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наставничества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Целями наставничества являются оказание помощи и поддержки наставляемым специалистам в приобретении или совершенствовании профессиональных знаний и навыков, повышение уровня компетентности,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адаптации их в организации, овладение нормами профессиональной этики и корпоративной культуры.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осуществляется на рабочем месте наставляемого специалиста.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Задачи наставничества: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содействие освоению наставляемым специалистом системы ценностей, норм профессиональной этики и корпоративной культуры, а также эффективного опыта, необходимых для качественного выполнения должностных обязанностей;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передача опыта, оказание помощи в адаптации наставляемых специалистов к условиям осуществления профессиональной деятельности;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планирование и сопровождение профессиональной деятельности наставляемого специалиста;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создание условий для формирования и развития профессиональных знаний, навыков, умений наставляемых специалистов;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содействие выработке навыков поведения наставляемых специалистов, соответствующих профессионально-этическим стандартам и правилам, воспитание профессионально-значимых качеств личности;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формирование активной гражданской и жизненной позиции наставляемых специалистов, развитие у них ответственного и сознательного отношения к работе;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оказание моральной и психологической поддержки наставляемым специалистам в преодолении профессиональных затруднений, реализация мер по ранней профилактике профессиональной деформации личности наставляемых специалистов;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обеспечение взаимосвязи и преемственности профессиональной деятельности разных поколений сотрудников;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совершенствование форм и методов наставничества, изучение и внедрение передового опыта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Функции наставничества: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рганизация деятельности наставляемых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 рабочем месте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роверка освоения знаний и умений, необходимых для выполнения трудовых обязанностей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 рабочем месте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Принципы наставничества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ринцип совместной деятельности наставляемого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 наставника по планированию, реализации, оцениванию и коррекции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активности и самопроектирования (активная позиция наставляемого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реализации потребности самопознания и саморазвития, профессиональная гибкость и готовность к изменениям);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научности (использование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процессе наставничества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научно-обоснованных методов, средств и технологий);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легитимности (соответствие всех действий в рамках наставничества законодательству);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добровольности, соблюдения прав и свобод (приоритет и уважение интересов личности наставляемого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добровольность участия в наставнической деятельности, признание равного социального статуса специалистов, независимо от ролевой позиции в системе наставничества);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гуманизации (ориентация наставнической деятельности на развитие и самоутверждение личности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наставляемого специалиста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индивидуализации и персонификации (признание способности личности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наставляемого специалиста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собственной траектории развития);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конфиденциальности (неразглашение информации, полученной в процессе работы с наставляемым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запрет на передачу ее другим лицам без согласия наставляемого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солидарной ответственности наставника за результаты деятельности наставляемого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 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устойчивой обратной связи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 процессе наставничества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аксиологичности (формирование ценностных отношений к профессиональной деятельности, уважения к личности, государству, окружающей среде, общечеловеческим ценностям); 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системности и стратегической целостности (осуществление наставничества с максимальным задействованием всех необходимых ресурсов и возможностей);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принцип вариативности (возможность выбирать наиболее подходящие для конкретных условий формы и виды наставничества).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III. Организация наставничества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устанавливается над: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молодыми/начинающими специалистами;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специалистами, осваивающими в пределах занимаемой должности новое направление деятельности (методику, технологию, оборудование);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специалистами, состоящими в кадровом резерве;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специалистами, назначенными на новую должность.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Наставниками могут быть специалисты, отвечающие следующим требованиям: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стаж работы в должности не менее 5 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квалификационной категории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едагог-наставник» или иной квалификационной категории по занимаемой должности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высокого уровня компетенций,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коммуникативных и управленческих навыков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Также рекомендуется прохождение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нструктаж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по организации наставничества, либо освоение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дополнительны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профессиональны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программ повышения квалификации или профессиональной переподготовки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по вопросам организации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Факультативными критериями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отбора наставников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могут быть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аличие опыта наставничес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или методической, консультативной, тьюторской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или опыт работы в качестве тренера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тренера-преподавателя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старшего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тренера/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тренера-преподавателя)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тренера-консультанта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позитивных результатов профессиональной деятельности, признанн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 профессиональном сообществе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государственны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отраслевы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наград, почётны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иных форм поощрения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осознанная заинтересованность, позитивное эмоционально-ценностное отношение к наставнической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2" w:name="_Hlk155591518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Знания, необходимые для осуществления наставничества:</w:t>
      </w:r>
      <w:bookmarkEnd w:id="2"/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сновы трудового законодательства и локальные нормативные акты в части, регламентирующей вопросы рабочего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ремени и времени отдыха, оплаты и нормирования труда, трудового распорядка и дисциплины труда, подготовки и дополнительного профессионального образования работников, независимой оценки квалификации, аттестации (применительно к рабочему месту наставляемого)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окальные нормативные акты, регламентирующие наставничество в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собенности корпоративной культуры, традиции и правила поведения, правила внутреннего трудового распорядка, требования трудовой дисциплины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аучно-технические или методические основы решения профессиональных задач, в том числе, специальные инновационные знания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етоды практического обучения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иды мотивации трудового поведения и профессионального развития, методы и приемы развития мотивации трудового поведения и профессионального развития, применяемые наставником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ребования к результатам, содержанию и организации деятельности наставляемых, отраженные в нормативно-технической документации (технические регламенты, стандарты, условия), профессиональных стандартах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или квалификационных характеристиках, должностных инструкциях или должностных обязанностях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етоды организации, контроля и оценки деятельности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ндивидуальные особенности личности, в том числе связанные со стадией их профессионального 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собенности адаптации к условиям труда по профессии, в том числе лиц с ограниченными возможностями здоровья или инвалидов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ребования охраны труда, пожарной безопасности, санитарные нормы и правила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браз жизни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осваиваемой наставляемыми квалификации, возможности и перспективы профессионального развития и карьерного роста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овременные методы консультирования по вопросам профессиональной адаптации и профессионального 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етодология и технология исследовательской и проектной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етодика организации проектной и исследовательской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ребования к оформлению результатов проектной и исследовательской деятельности, рационализаторских предложений, объектов авторских прав, изобретений, полезных моделей и промышленных образцов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ребования к публичной презентации (выступлению)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ормы делового общения, стили общения, инструменты и приемы эффективного общения наставника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адачи обратной связи, ее виды, способы и правила ее предоставления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сновы тайм-менеджмента для организации собственной работы и работы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рограммные средства, используемые для ведения документации 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Умения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необходимые для осуществления наставничества: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ыявлять профессиональные дефициты, способности и лидерский потенциал у наставляемого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нализировать индивидуальный план развития, а также требования профессионального стандарта или квалификационных характеристик, должностные инструкции, документов, регламентирующих процесс наставничества, условия труда и допуска к работе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ценивать готовность наставляемого к выполнению профессиональной деятельности, его мотивацию, индивидуальные особенности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пределять компетенции, умения и знания, которые должны быть освоены наставляемым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специалистом;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ыполнять профессиональную деятельность и (или) демонстрировать элементы профессиональной деятельности, осваиваемой наставляемыми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специалистами;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спользовать формы и методы практического обучения, приемы мотивации с учетом специфики профессии (должности), возрастных и индивидуальных особенностей наставляемых, обучать планированию, самоорганизации и самоконтролю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пределять работы, которые должен выполнять наставляемый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их последовательность, объем и требования к качеству с учетом уровня подготовки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и особенностей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основных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процесс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амостоятельно искать, анализировать и оценивать профессиональную информацию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онтролировать соблюдение требований охраны труда, пожарной безопасности, электробезопасности, санитарных норм и правил при выполнении трудовых функций самостоятельно и наставляемым (применительно к конкретному рабочему месту)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беспечивать сопровождение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(для лиц с ограниченными возможностями здоровья или инвалидов) для обеспечения ориентации на рабочем месте и в организации в целом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казывать методическую помощь наставляемым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выполнении основных этапов проектных, исследовательских работ, в подготовке рационализаторских предложений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ценивать качество проектных и исследовательских работ наставляемых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социальную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экономическую эффективность рационализаторских предложений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отовить презентации и материалы для публичных мероприятий, проводимых с целью трансляции наставляемым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лучших образцов решения профессиональных задач, в том числе с использованием дистанционных технологий и цифровых 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станавливать контакт с наставляемыми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строить взаимодействие и общение с наставляемыми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 основе понимания индивидуальных особенностей, наблюдения за их трудовой деятельностью и поведением, текущего контроля освоения (повышения) квалификации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облюдать нормы делового общения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роводить текущий контроль и оценку выполнения наставляемыми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специалистами профессиональной деятельности, 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качества, выбирать виды и способы обратной связи и оперативно предоставлять 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орректировать процесс подготовки наставляемых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соответствии с результатами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контроля наставляемого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специалиста;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нализировать процесс и результаты наставнической деятельности, совершенствовать ее с опорой на опыт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ести документацию на электронных или бумажных носителях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Число лиц, в отношении которых наставник одновременно осуществляет наставничество, зависит от уровня его профессиональной подготовки, объема выполняемой работы. Допускается наставничество над группой наставляемых специалистов.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 за наставляемым специалистом закрепляется не позднее одного месяца со дня назначения наставляемого специалиста на должность.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устанавливается продолжительностью от трех месяцев до одного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 необходимости по решению руководителя учреждения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срок может быть продлен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Продление или сокращение срока наставничества может быть осуществлено по рекомендации наставника приказом руководителя организации.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Назначение наставников осуществляется на добровольной основе с обязательным письменным согласием лица, назначаемого наставником.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Утверждение кандидатуры наставника осуществляется приказом руководителя организации.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Основанием для издания приказа о наставничестве является служебная записка руководителя структурного подразделения, в котором осуществляется наставничество, или уполномоченного заместителя руководителя организации,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Замена наставника производится согласно приказу руководителя организации по следующим основаниям: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прекращение наставником трудовых отношений с организацией;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неисполнение наставником своих обязанностей, соглашения;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привлечение наставника к дисциплинарной ответственности.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прекращается до истечения установленного срока его действия в случае прекращения наставляемым специалистом трудовых отношений с организацией.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Наставничество осуществляется в соответствии с планом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(программой)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наставничества, который составляется наставни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 по итогам собеседования с наставляемым специалистом, согласовывается с руководителем структурного подразделения, в котором осуществляется наставничество, или уполномоченным заместителем руководителя организации и утверждается руководителем организации.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течение десяти рабочих дней по окончании срока наставничества наставник делает соответствующие отметки в плане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 в графе «Отметка о выполнении».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 необходимости наставляемому специалисту даются конкретные рекомендации по дальнейшему повышению профессионального мастерства.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Эффективность наставничества оценивается руководителем организации на основании анализа выполнения плана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(программы)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наставничества. При этом учитываются мнения руководителя структурного подразделения организации или уполномоченного заместителя руководителя организации, наставника, наставляемого специалиста и кадровой службы.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Функция наставника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осуществляется в рамках дополнительного соглашения к трудовому договору.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Также по решению работодателя и согласованию с наставником возможны иные формы привлечения к осуществлению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Оплата наставникам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осуществляется в соответствии с локальными актами организаци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IV. Права и обязанности</w:t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 обязан: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осуществлять свои функции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Уставом, локальными актами организации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(программой)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содействовать наставляемому специалисту в ознакомлении с его должностными обязанностями, основными направлениями деятельности, полномочиями и организацией работы в организации;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оказывать наставляемому специалисту индивидуальную помощь в освоении нормативных документов, регламентирующих его деятельность;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оказывать наставляемому специалисту индивидуальную помощь в овладении избранной профессией, практическими навыками, выявлять и совместно устранять допущенные ошибки и ликвидировать квалификационные дефициты (при наличии);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передавать наставляемому специалисту накопленный опыт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профессионально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мастерств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обучать наиболее рациональным приемам и передовым методам работы;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всесторонне изучать деловые и моральные качества наставляемого специалиста, позитивно влиять на их укрепление и развитие, формировать ответственное отношение к трудовым обязанностям;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личным примером развивать положительные качества наставляемого специалиста, корректировать его поведение, привлекать к участию в общественной жизни коллектива, содействовать развитию общекультурного и профессионального уровня;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содействовать наставляемому специалисту в выполнении распоряжений и указаний, связанных с его служебной деятельностью;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осуществлять мониторинг и коррекцию (при необходимости) деятельности наставляемого специалиста, запрашивать у него сведения о выполнении заданий в пределах своей компетенции;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вносить предложения по совершенствованию процесса наставничества, форм и методов адаптации, участвовать в разработке мероприятий по вопросам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Наставляемый специалист обязан: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выполнять в установленный срок план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(программу)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овладевать необходимыми профессиональными навыками, совместно с наставником выявлять и устранять допущенные ошибки и восполнять квалификационные дефициты (при наличии);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максимально использовать опыт и знания наставника для овладения профессией, ознакомления с особенностями работы в организации, уточнения вопросов профессиональной деятельности;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осваивать наиболее эффективные приемы и инновационные методы профессиональной деятельности;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ответственно относиться к работе;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участвовать в общественной жизни коллектива, развивать свой общекультурный и профессиональный уровень.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 имеет право: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запрашивать у наставляемого специалиста сведения о выполнении мероприятий, предусмотренных планом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(программой) наставничества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в пределах своей компетенции;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вносить предложения по совершенствованию форм и методов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Наставляемый специалист имеет право: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получать всю необходимую информацию об особенностях профессиональной деятельности; пользоваться имеющейся в организации служебной, нормативной, учебно-методической документацией по вопросам служебной деятельности;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участвовать в обсуждении и решении вопросов организации 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получать своевременную квалифицированную помощь наставника в различных видах профессиональной деятельности;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ходатайствовать о замене наставника с предоставлением обоснования.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V. Руководство наставничеством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Руководство и контроль за организацией и осуществлением наставничества в организации осуществляет руководитель организации. 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Руководство и контроль за организацией и осуществлением наставничества в конкретном структурном подразделении осуществляет руководитель соответствующего структурного подразделения или уполномоченный заместитель руководителя организации.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Руководитель структурного подразделения организации, в которой осуществляет свою деятельность наставляемый специалист или уполномоченный заместитель руководителя организации: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представляет наставляемого специалиста коллективу, объявляет приказ о закреплении наставника и знакомит с ним соответствующих сотрудников;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создает необходимые условия для совместной деятельности наставника и наставляемого специалиста;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оказывает методическую и практическую помощь наставникам и наставляемым специалистам;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участвует в формировании плана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(программы)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осуществляет контроль за деятельностью наставника и наставляемого специалиста, вносить необходимые изменения или дополнения в процесс 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вносит, в случае необходимости, предложения об отстранении специалиста от обязанностей наставника, замене наставника;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изучает, обобщает и распространяет положительный опыт организации 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вносит предложения о награждении, поощрении наставников.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Кадровая служба: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оказывает содействие руководителю структурного подразделения или заместителю руководителя организации в вопросах подбора наставников;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оказывает консультативную помощь наставникам в разработке плана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(программы)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наставничества.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 приобщается к личному делу наставляемого.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 наличии в организации пяти и более наставников, организация в праве создать Совет наставников, который осуществляет свою деятельность по координации наставничества во взаимодействии с кадровой службой организации.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Совет наставников входят действующие наставники, сотрудники, обладающие опытом проведения наставничества, представители кадровой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службы организации, а также руководитель (заместитель руководителя) организации. Из их числа избирается председатель, заместитель, секретарь.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Совет наставников в целях организации наставничества: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рекомендует руководителю организации, с учетом мнения руководителя структурного подразделения, кандидатуры наставников;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разрабатывает мероприятия по совершенствованию механизма 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оказывает методическую и практическую помощь наставникам в планировании их деятельности, передаче опыта наставляемым специалистам;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изучает, обобщает и распространяет передовой опыт работы наставников.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Заседания Совета наставников проводятся по мере необходимости. Для участия в его заседаниях могут приглашаться руководители структурных подразделений организации, в которых осуществляется наставничество.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Организационное и документационное обеспечение работы Совета наставников осуществляется секретарем Совета наставников. Секретарь обеспечивает учет и ведение следующих документов: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протоколов заседаний Совета наставников;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списка членов Совета наставников.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Учетные документы Совета наставников хранятся в течение пяти лет, после чего уничтожаются по акту.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/>
      <w:bookmarkStart w:id="3" w:name="_Hlk155593621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Документы 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наставничеств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у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Перечень документов, образующихся в процессе наставничества: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локальный акт организации, регламентирующий организацию и осуществление наставничества;</w:t>
      </w:r>
      <w:bookmarkEnd w:id="3"/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распорядительные акты, связанные с организацией наставничества (например, приказ о наставничестве и др.);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комплексы 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 иные документы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направленны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развити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е, поддержку наставничества в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документы, связанные с деятельностью Совета наставников (при наличии).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План (п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— комплекс мероприятий и формирующих их действий, направленных на организацию взаимоотношений наставника и наставляемого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конкретных формах для получения ожидаемых результатов.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План (п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представляет собой развёрнуый в определённом временном отрезке план совместных действий наставника и наставляемого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направленных на достижение целей наставничества. В программе рекомендуется выделять разделы, этапы, указывать контрольные сроки и события.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План (п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должна учитывать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режим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формы и локации для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наставника и наставляемого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утверждается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учетом рекомендуемой формы (приложение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Цикл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наставничеств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а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Возникновение ситуации, актуализующей наставничеств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кадровых процедур; 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анализа статистки, данных мониторинга, рейтингов, публикаций и т.д.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диагностики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анализа эффективности деятельности персонала, контрольных и аттестационных мероприятий, поступивших рекламаций и т.д.; 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факту изменения нормативных правовых актов,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утверждения новых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документов стратегического планирования, внедрения новых требований и установок вышестоящих инстанций;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приняти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новой программы развития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запуске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инновационного проекта,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освоени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передовых технологий и методик, требующих новых компетенций и т.п.; 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итогам рассмотрения обращения специалиста или ходатайства руководителя структурного подразделения и т.д.; </w:t>
      </w:r>
      <w:r/>
    </w:p>
    <w:p>
      <w:pPr>
        <w:numPr>
          <w:ilvl w:val="0"/>
          <w:numId w:val="1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поступлени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лиц на стажировку, практическую подготовку и т.д.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 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принятие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руководителем организации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решения о задействовании механизма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пределение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параметров наставничества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условий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его осуществления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конкретной ситуации: 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определение точек концентрации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наставнической деятельности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(восполняемые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квалификационные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дефициты, недостающие компетенции и т.д.);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выбор вида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продолжительности реализации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наставничества;</w:t>
      </w:r>
      <w:r/>
    </w:p>
    <w:p>
      <w:pPr>
        <w:numPr>
          <w:ilvl w:val="0"/>
          <w:numId w:val="2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подбор </w:t>
      </w:r>
      <w:bookmarkStart w:id="4" w:name="_Hlk110662806"/>
      <w:r>
        <w:rPr>
          <w:rFonts w:ascii="Times New Roman" w:hAnsi="Times New Roman" w:eastAsia="Calibri" w:cs="Times New Roman"/>
          <w:sz w:val="28"/>
          <w:szCs w:val="28"/>
        </w:rPr>
        <w:t xml:space="preserve">наставника.</w:t>
      </w:r>
      <w:bookmarkEnd w:id="4"/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 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наличие основных параметров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и наличие кандидатуры наставника.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3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Формирование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наставничества:</w:t>
      </w:r>
      <w:r/>
    </w:p>
    <w:p>
      <w:pPr>
        <w:pStyle w:val="686"/>
        <w:numPr>
          <w:ilvl w:val="0"/>
          <w:numId w:val="3"/>
        </w:numPr>
        <w:contextualSpacing w:val="0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описание цели и задач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наставничества;</w:t>
      </w:r>
      <w:r/>
    </w:p>
    <w:p>
      <w:pPr>
        <w:pStyle w:val="686"/>
        <w:numPr>
          <w:ilvl w:val="0"/>
          <w:numId w:val="3"/>
        </w:numPr>
        <w:contextualSpacing w:val="0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изложение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конкретных действий и мероприятий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рамках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указанием сроков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pStyle w:val="686"/>
        <w:numPr>
          <w:ilvl w:val="0"/>
          <w:numId w:val="3"/>
        </w:numPr>
        <w:contextualSpacing w:val="0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отражение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ожидаемых эффектов, критериев достижения поставленной цели; </w:t>
      </w:r>
      <w:r/>
    </w:p>
    <w:p>
      <w:pPr>
        <w:pStyle w:val="686"/>
        <w:numPr>
          <w:ilvl w:val="0"/>
          <w:numId w:val="3"/>
        </w:numPr>
        <w:contextualSpacing w:val="0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формализация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качестве инструмента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 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составленн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согласованн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утвержденн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 закреплен за наставляемым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специалистом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рименение мер, обеспечивающих эффективн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 осуществление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наставничества: </w:t>
      </w:r>
      <w:r/>
    </w:p>
    <w:p>
      <w:pPr>
        <w:numPr>
          <w:ilvl w:val="0"/>
          <w:numId w:val="4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наставника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мотивирование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наставничества; </w:t>
      </w:r>
      <w:r/>
    </w:p>
    <w:p>
      <w:pPr>
        <w:numPr>
          <w:ilvl w:val="0"/>
          <w:numId w:val="4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для наставника и наставляемого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синхронизация,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корректировка графиков работ, в которых они задействованы и т.д.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заключение дополнительн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соглашени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наставником; корректировка планов и графиков основных процессов в отношении лиц, задействованных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 и т.д.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5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еализация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установление личного контакта наставника с наставляемым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специалистом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промежуточные отчеты о выполнении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корректировка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(при необходимости)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замена наставника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(при необходимости).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6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Завершение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наставничества:</w:t>
      </w:r>
      <w:r/>
    </w:p>
    <w:p>
      <w:pPr>
        <w:numPr>
          <w:ilvl w:val="0"/>
          <w:numId w:val="5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подведение итогов реализации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плана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принятие решения о ее завершении в связи в достижением поставленной цели, либо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пролонгировании; </w:t>
      </w:r>
      <w:r/>
    </w:p>
    <w:p>
      <w:pPr>
        <w:numPr>
          <w:ilvl w:val="0"/>
          <w:numId w:val="5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завершение жизненного цикла наставничества,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распад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наставнической пары и конверсия отношений «наставник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наставляемый» в иные продуктивные формы внутрикорпоративных отношений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протокол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совещания (заседания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коллегиального совещательного органа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уполномоченного рассматривать вопросы организации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содержащий анализ и оценку эффективности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позиции достижения поставленных целей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включающий рекомендации о необходимости пролонгирования наставничества или трансформации в иные форматы, а также рекомендации по поощрению наставника, корректировке документов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рекомендации по дальнейшему повышению профессионального мастерства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т.д.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Этап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7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Принятие итоговых управленческих решений: </w:t>
      </w:r>
      <w:r/>
    </w:p>
    <w:p>
      <w:pPr>
        <w:numPr>
          <w:ilvl w:val="0"/>
          <w:numId w:val="6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поощрении наставника;</w:t>
      </w:r>
      <w:r/>
    </w:p>
    <w:p>
      <w:pPr>
        <w:numPr>
          <w:ilvl w:val="0"/>
          <w:numId w:val="6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корректировке (при необходимости) локальных актов и иных документов, затрагивающих вопросы наставничества; </w:t>
      </w:r>
      <w:r/>
    </w:p>
    <w:p>
      <w:pPr>
        <w:numPr>
          <w:ilvl w:val="0"/>
          <w:numId w:val="6"/>
        </w:numPr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подготовке предложений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дальнейшему развитию наставничества.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Результат этапа: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издание акт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 руководителя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 о завершении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подготовка представлений на поощрение наставника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корректировка локальных актов, планов деятельности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рганизации; инициация изменений в программу развития, коллективный договор и т.д.;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принятие комплекса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мер по совершенствованию системы наставничества и др.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VI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Примерные критерии эффективности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наставничеств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а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 эффективности наставничества в организации прямо или опосредованно могут свидетельствовать: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ысокий показатель закрепления молодых специалистов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улучшение результатов профессиональной деятельности у наставляем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ликвидация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выявленных (диагностированных)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профессиональных дефицитов, преодоление профессиональных кризисов и затруднений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 наставляемых специалистов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повышение уровня мотивированности и осознанности наставляемых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вопросах саморазвития и профессионального самообразования;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проактивная позиция персонала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включенност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наставляем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 специалистов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инновационную деятельность, методические форматы, непрерывное образование; 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рост удовлетворенности атмосферой внутри организации, снижение (минимизация) конфликтных ситуаций;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рост востребованности и популярности наставнической деятельности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рганизации.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Эффективность системы 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организации также может быть подтверждена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включенностью организации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информационно-коммуникативную среду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систему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информационного взаимодействия по вопросам наставничества в сфере физической культуры и спорта Ханты-Мансийского автономного округа-Югры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обмен инновационным опытом и эффективными практиками наставничества в сфере физической культуры и спорта ХМАО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Югры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методические мероприятия по вопросам наставничества в сфере физической культуры и спорта (семинары, конференции и др.);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аналитически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методически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материал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(рекомендации, указания, памятки, обобщения и др.) по вопросам организации и осуществления наставничества в сфере физической культуры и спорта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Кроме того, о зрелости и системности деятельности организации по наставничеству может свидетельствовать участие ее представителей: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сообществ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 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аставников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курс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повышения квалификации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(профессиональной переподготовки)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смотр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-конкурс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лучших образцов, моделей, кейсов наставничества;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площад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обмен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эффективным опытом наставничества.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/>
      <w:bookmarkStart w:id="5" w:name="_Hlk155596144"/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IX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. Меры, направленные на развитие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наставничества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целях создания системы наставничества в организациях рекомендуется разработать и реализовать комплекс мер, включающий в себя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bookmarkEnd w:id="5"/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принятие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локальн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нормативного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регламентирующ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организацию и осуществление наставничества;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тражение наставничества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локальных нормативных актах (коллективном договоре и др.)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трудовых договорах, должностных инструкциях работников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 т.д.;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тражение приоритетности развития наставничества в программе развития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планах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рганизации;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включение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этического кодекса наставника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документы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 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систематическое рассмотрение вопросов организации наставничества на заседаниях коллегиальных органов организации;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системы формирования готовности наставников к осуществлению наставнической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систематическое отражение наставнической деятельности и ее результатов на официальном сайте организации, а также в социальных сетях и популярных мессенджерах;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мер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материального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мотивирования, стимулирования и поддержки наставничества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рганизации (в коллективном договоре, в положении об оплате труда и др. документах);</w:t>
      </w:r>
      <w:r/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наличие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организации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торжественного церемониала в связи с возложением обязанностей наставника;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публичное признание значимости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наставников, повышение их авторитета в коллективе;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включение лучших наставников в кадровый резерв на замещение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должностей;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выдвижение лучших наставников на конкурсы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публикация историй успеха и профессионального пути лучших наставников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средства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массов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информации;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представление наиболее отличившихся наставников 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местным,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региональным, ведомственным и государственным наградам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формам поощрения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инициация аттестации тренеров-наставников в целях установления им квалификационной категории «педагог-наставник»;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чествование лучших наставников, размещение их фотографий на доске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галерее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почета;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включение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коллегиальные органы, рабочие группы и др.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с)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использование корпоративных знаков отличия,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символики,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придающе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наставникам особый статус (значки, наклейки, грамоты и т.п.);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ручение специальных памятных подарков на корпоративных мероприятиях;</w:t>
      </w:r>
      <w:r/>
    </w:p>
    <w:p>
      <w:pPr>
        <w:pStyle w:val="686"/>
        <w:contextualSpacing w:val="0"/>
        <w:ind w:left="0" w:firstLine="709"/>
        <w:jc w:val="both"/>
        <w:spacing w:after="0" w:line="360" w:lineRule="auto"/>
        <w:tabs>
          <w:tab w:val="left" w:pos="993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направление для участия в объединениях наставников, в конференциях, выставках,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тренинг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курс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повышения квалификации для наставников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</w:rPr>
      </w:r>
      <w:r/>
    </w:p>
    <w:p>
      <w:pPr>
        <w:jc w:val="center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X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Условия и ресурсы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развити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наставничества</w:t>
      </w:r>
      <w:r/>
    </w:p>
    <w:p>
      <w:pPr>
        <w:ind w:firstLine="709"/>
        <w:jc w:val="both"/>
        <w:spacing w:after="0" w:line="36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/>
      <w:bookmarkStart w:id="6" w:name="_Hlk155595665"/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Организационно-методические условия и ресурсы реализации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отраслевой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системы наставничества включают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себя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/>
    </w:p>
    <w:p>
      <w:pPr>
        <w:pStyle w:val="686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оказание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консультационной и методической помощи наставникам, наставляемым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разработке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планов (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наставничества; </w:t>
      </w:r>
      <w:r/>
    </w:p>
    <w:p>
      <w:pPr>
        <w:pStyle w:val="686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отраслевую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информационно-коммуникационную среду наставничества; 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изучение, обобщение и распространение положительного опыта работы наставников, обмен инновационным опытом в сфере наставничества; </w:t>
      </w:r>
      <w:r/>
    </w:p>
    <w:p>
      <w:pPr>
        <w:pStyle w:val="686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координирование вертикальных и горизонтальных связей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наставнической деятельностью; </w:t>
      </w:r>
      <w:r/>
    </w:p>
    <w:p>
      <w:pPr>
        <w:pStyle w:val="686"/>
        <w:ind w:left="0"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нормотворческую,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информационно-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методическую, аналитическую деятельность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направленную на поддержку 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рганизациях; 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осуществление мониторинга наставнической деятельности. </w:t>
      </w:r>
      <w:r/>
    </w:p>
    <w:p>
      <w:pPr>
        <w:ind w:firstLine="567"/>
        <w:jc w:val="both"/>
        <w:spacing w:after="0" w:line="360" w:lineRule="auto"/>
        <w:tabs>
          <w:tab w:val="left" w:pos="851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Орган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местного самоуправления, осуществляющи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управление в сфере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физической культуры и спорта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/>
    </w:p>
    <w:p>
      <w:pPr>
        <w:ind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определяют приоритетный характер наставнической деятельности в муниципальной системе физической культуры и спорта и закрепляют это в муниципальных программах;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осуществляют мониторинг наставничества в муниципальных организациях, выявляют и распространяют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лучши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практик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разрабатывают и реализуют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комплексы мер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иные документы, направленные 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создание системы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наставничества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ее развитие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организациях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а также адресные меры поддержки лучших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наставников;</w:t>
      </w:r>
      <w:r/>
    </w:p>
    <w:p>
      <w:pPr>
        <w:ind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содействуют общественным объединениям наставников, деятельности площадок по обмену опытом наставничества, профессиональному росту и развитию наставников.</w:t>
      </w:r>
      <w:r/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br w:type="page" w:clear="all"/>
      </w:r>
      <w:r/>
    </w:p>
    <w:p>
      <w:pPr>
        <w:ind w:firstLine="708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Приложение</w:t>
      </w:r>
      <w:r/>
    </w:p>
    <w:p>
      <w:pPr>
        <w:ind w:left="-142" w:firstLine="142"/>
        <w:jc w:val="right"/>
        <w:spacing w:after="0" w:line="240" w:lineRule="auto"/>
        <w:shd w:val="clear" w:color="auto" w:fill="ffffff"/>
        <w:tabs>
          <w:tab w:val="left" w:pos="6744" w:leader="underscore"/>
        </w:tabs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14:ligatures w14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Примерная форма плана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(программы)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наставничества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Наставляемый сотрудник: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(фамилия, имя, отчество)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Должность наставляемого сотрудника: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________________________________________________________________________________________________________________________________________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Наставник: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(фамилия, имя, отчество)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Должность наставника: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Период наставничества: с «__» ______ 20__ года по «___» _____ 20__ года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  <w14:ligatures w14:val="none"/>
        </w:rPr>
      </w:r>
      <w:r/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503"/>
        <w:gridCol w:w="1620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№ п/п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Наименование и содержание мероприятий</w:t>
            </w:r>
            <w:r/>
          </w:p>
        </w:tc>
        <w:tc>
          <w:tcPr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Срок исполнения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Отметка о выполнении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1.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  <w14:ligatures w14:val="none"/>
              </w:rPr>
            </w:r>
            <w:r/>
          </w:p>
        </w:tc>
        <w:tc>
          <w:tcPr>
            <w:tcW w:w="1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2.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  <w14:ligatures w14:val="none"/>
              </w:rPr>
            </w:r>
            <w:r/>
          </w:p>
        </w:tc>
        <w:tc>
          <w:tcPr>
            <w:tcW w:w="15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Оценка полноты выполнения плана наставничества: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________________________________________________________________________________________________________________________________________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Рекомендации по результатам наставничества: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________________________________________________________________________________________________________________________________________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  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_  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(подпись)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  <w:t xml:space="preserve">(расшифровка подписи)</w:t>
      </w:r>
      <w:r/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__________20___года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Наставляемый специалист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        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(подпись)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ab/>
        <w:t xml:space="preserve">(расшифровка подписи)</w:t>
      </w:r>
      <w:r/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__________20___года </w:t>
      </w:r>
      <w:r/>
    </w:p>
    <w:p>
      <w:pPr>
        <w:ind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bookmarkEnd w:id="6"/>
      <w:r/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2007916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8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91"/>
    <w:uiPriority w:val="99"/>
  </w:style>
  <w:style w:type="character" w:styleId="45">
    <w:name w:val="Footer Char"/>
    <w:basedOn w:val="683"/>
    <w:link w:val="693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3"/>
    <w:uiPriority w:val="99"/>
    <w:rPr>
      <w:sz w:val="18"/>
    </w:rPr>
  </w:style>
  <w:style w:type="character" w:styleId="179">
    <w:name w:val="Endnote Text Char"/>
    <w:link w:val="701"/>
    <w:uiPriority w:val="99"/>
    <w:rPr>
      <w:sz w:val="20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706"/>
    <w:uiPriority w:val="9"/>
    <w:qFormat/>
    <w:pPr>
      <w:keepLines/>
      <w:keepNext/>
      <w:spacing w:before="240" w:after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List Paragraph"/>
    <w:basedOn w:val="681"/>
    <w:link w:val="719"/>
    <w:uiPriority w:val="34"/>
    <w:qFormat/>
    <w:pPr>
      <w:contextualSpacing/>
      <w:ind w:left="720"/>
    </w:pPr>
  </w:style>
  <w:style w:type="table" w:styleId="687" w:customStyle="1">
    <w:name w:val="Сетка таблицы1"/>
    <w:basedOn w:val="684"/>
    <w:next w:val="688"/>
    <w:uiPriority w:val="59"/>
    <w:pPr>
      <w:spacing w:after="0" w:line="240" w:lineRule="auto"/>
    </w:pPr>
    <w:rPr>
      <w:rFonts w:ascii="Times New Roman" w:hAnsi="Times New Roman"/>
      <w:sz w:val="24"/>
      <w:szCs w:val="24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8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9">
    <w:name w:val="Hyperlink"/>
    <w:basedOn w:val="683"/>
    <w:uiPriority w:val="99"/>
    <w:unhideWhenUsed/>
    <w:rPr>
      <w:color w:val="0563c1" w:themeColor="hyperlink"/>
      <w:u w:val="single"/>
    </w:rPr>
  </w:style>
  <w:style w:type="character" w:styleId="690">
    <w:name w:val="Unresolved Mention"/>
    <w:basedOn w:val="683"/>
    <w:uiPriority w:val="99"/>
    <w:semiHidden/>
    <w:unhideWhenUsed/>
    <w:rPr>
      <w:color w:val="605e5c"/>
      <w:shd w:val="clear" w:color="auto" w:fill="e1dfdd"/>
    </w:rPr>
  </w:style>
  <w:style w:type="paragraph" w:styleId="691">
    <w:name w:val="Header"/>
    <w:basedOn w:val="681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3"/>
    <w:link w:val="691"/>
    <w:uiPriority w:val="99"/>
  </w:style>
  <w:style w:type="paragraph" w:styleId="693">
    <w:name w:val="Footer"/>
    <w:basedOn w:val="681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3"/>
    <w:link w:val="693"/>
    <w:uiPriority w:val="99"/>
  </w:style>
  <w:style w:type="character" w:styleId="695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696">
    <w:name w:val="annotation text"/>
    <w:basedOn w:val="681"/>
    <w:link w:val="69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7" w:customStyle="1">
    <w:name w:val="Текст примечания Знак"/>
    <w:basedOn w:val="683"/>
    <w:link w:val="696"/>
    <w:uiPriority w:val="99"/>
    <w:semiHidden/>
    <w:rPr>
      <w:sz w:val="20"/>
      <w:szCs w:val="20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rPr>
      <w:b/>
      <w:bCs/>
    </w:rPr>
  </w:style>
  <w:style w:type="character" w:styleId="699" w:customStyle="1">
    <w:name w:val="Тема примечания Знак"/>
    <w:basedOn w:val="697"/>
    <w:link w:val="698"/>
    <w:uiPriority w:val="99"/>
    <w:semiHidden/>
    <w:rPr>
      <w:b/>
      <w:bCs/>
      <w:sz w:val="20"/>
      <w:szCs w:val="20"/>
    </w:rPr>
  </w:style>
  <w:style w:type="paragraph" w:styleId="700">
    <w:name w:val="No Spacing"/>
    <w:basedOn w:val="681"/>
    <w:uiPriority w:val="1"/>
    <w:qFormat/>
    <w:pPr>
      <w:spacing w:before="100" w:beforeAutospacing="1" w:after="100" w:afterAutospacing="1" w:line="240" w:lineRule="auto"/>
    </w:pPr>
    <w:rPr>
      <w:rFonts w:ascii="Calibri" w:hAnsi="Calibri" w:cs="Calibri"/>
      <w:lang w:eastAsia="ru-RU"/>
      <w14:ligatures w14:val="none"/>
    </w:rPr>
  </w:style>
  <w:style w:type="paragraph" w:styleId="701">
    <w:name w:val="endnote text"/>
    <w:basedOn w:val="681"/>
    <w:link w:val="70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2" w:customStyle="1">
    <w:name w:val="Текст концевой сноски Знак"/>
    <w:basedOn w:val="683"/>
    <w:link w:val="701"/>
    <w:uiPriority w:val="99"/>
    <w:semiHidden/>
    <w:rPr>
      <w:sz w:val="20"/>
      <w:szCs w:val="20"/>
    </w:rPr>
  </w:style>
  <w:style w:type="character" w:styleId="703">
    <w:name w:val="endnote reference"/>
    <w:basedOn w:val="683"/>
    <w:uiPriority w:val="99"/>
    <w:semiHidden/>
    <w:unhideWhenUsed/>
    <w:rPr>
      <w:vertAlign w:val="superscript"/>
    </w:rPr>
  </w:style>
  <w:style w:type="paragraph" w:styleId="704" w:customStyle="1">
    <w:name w:val="Заголовок 11"/>
    <w:basedOn w:val="681"/>
    <w:next w:val="681"/>
    <w:uiPriority w:val="9"/>
    <w:qFormat/>
    <w:pPr>
      <w:jc w:val="center"/>
      <w:keepLines/>
      <w:keepNext/>
      <w:spacing w:after="0" w:line="276" w:lineRule="auto"/>
      <w:outlineLvl w:val="0"/>
    </w:pPr>
    <w:rPr>
      <w:rFonts w:ascii="Times New Roman" w:hAnsi="Times New Roman" w:eastAsia="Times New Roman" w:cs="Times New Roman"/>
      <w:b/>
      <w:bCs/>
      <w:sz w:val="28"/>
      <w:szCs w:val="28"/>
      <w14:ligatures w14:val="none"/>
    </w:rPr>
  </w:style>
  <w:style w:type="numbering" w:styleId="705" w:customStyle="1">
    <w:name w:val="Нет списка1"/>
    <w:next w:val="685"/>
    <w:uiPriority w:val="99"/>
    <w:semiHidden/>
    <w:unhideWhenUsed/>
  </w:style>
  <w:style w:type="character" w:styleId="706" w:customStyle="1">
    <w:name w:val="Заголовок 1 Знак"/>
    <w:basedOn w:val="683"/>
    <w:link w:val="682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07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6"/>
      <w:szCs w:val="26"/>
      <w:lang w:eastAsia="ru-RU"/>
      <w14:ligatures w14:val="none"/>
    </w:rPr>
  </w:style>
  <w:style w:type="paragraph" w:styleId="708">
    <w:name w:val="Balloon Text"/>
    <w:basedOn w:val="681"/>
    <w:link w:val="709"/>
    <w:uiPriority w:val="99"/>
    <w:semiHidden/>
    <w:unhideWhenUsed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  <w14:ligatures w14:val="none"/>
    </w:rPr>
  </w:style>
  <w:style w:type="character" w:styleId="709" w:customStyle="1">
    <w:name w:val="Текст выноски Знак"/>
    <w:basedOn w:val="683"/>
    <w:link w:val="708"/>
    <w:uiPriority w:val="99"/>
    <w:semiHidden/>
    <w:rPr>
      <w:rFonts w:ascii="Tahoma" w:hAnsi="Tahoma" w:eastAsia="Times New Roman" w:cs="Tahoma"/>
      <w:sz w:val="16"/>
      <w:szCs w:val="16"/>
      <w:lang w:eastAsia="ru-RU"/>
      <w14:ligatures w14:val="none"/>
    </w:rPr>
  </w:style>
  <w:style w:type="table" w:styleId="710" w:customStyle="1">
    <w:name w:val="Сетка таблицы2"/>
    <w:basedOn w:val="684"/>
    <w:next w:val="688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1" w:customStyle="1">
    <w:name w:val="headertext"/>
    <w:basedOn w:val="6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712" w:customStyle="1">
    <w:name w:val="formattext"/>
    <w:basedOn w:val="6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713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  <w14:ligatures w14:val="none"/>
    </w:rPr>
  </w:style>
  <w:style w:type="paragraph" w:styleId="714">
    <w:name w:val="Body Text"/>
    <w:basedOn w:val="681"/>
    <w:link w:val="715"/>
    <w:uiPriority w:val="1"/>
    <w:unhideWhenUsed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6"/>
      <w:szCs w:val="26"/>
      <w:lang w:eastAsia="ru-RU"/>
      <w14:ligatures w14:val="none"/>
    </w:rPr>
  </w:style>
  <w:style w:type="character" w:styleId="715" w:customStyle="1">
    <w:name w:val="Основной текст Знак"/>
    <w:basedOn w:val="683"/>
    <w:link w:val="714"/>
    <w:uiPriority w:val="1"/>
    <w:rPr>
      <w:rFonts w:ascii="Times New Roman" w:hAnsi="Times New Roman" w:eastAsia="Times New Roman" w:cs="Times New Roman"/>
      <w:sz w:val="26"/>
      <w:szCs w:val="26"/>
      <w:lang w:eastAsia="ru-RU"/>
      <w14:ligatures w14:val="none"/>
    </w:rPr>
  </w:style>
  <w:style w:type="table" w:styleId="716" w:customStyle="1">
    <w:name w:val="Table Normal"/>
    <w:uiPriority w:val="2"/>
    <w:qFormat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7" w:customStyle="1">
    <w:name w:val="Table Paragraph"/>
    <w:basedOn w:val="68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14:ligatures w14:val="none"/>
    </w:rPr>
  </w:style>
  <w:style w:type="paragraph" w:styleId="718" w:customStyle="1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none"/>
    </w:rPr>
  </w:style>
  <w:style w:type="character" w:styleId="719" w:customStyle="1">
    <w:name w:val="Абзац списка Знак"/>
    <w:link w:val="686"/>
    <w:uiPriority w:val="34"/>
  </w:style>
  <w:style w:type="character" w:styleId="720" w:customStyle="1">
    <w:name w:val="Works Char"/>
    <w:basedOn w:val="683"/>
    <w:link w:val="721"/>
    <w:rPr>
      <w:rFonts w:ascii="Tahoma" w:hAnsi="Tahoma" w:cs="Tahoma"/>
      <w:color w:val="000000"/>
      <w:szCs w:val="24"/>
      <w:lang w:eastAsia="ru-RU" w:bidi="ru-RU"/>
    </w:rPr>
  </w:style>
  <w:style w:type="paragraph" w:styleId="721" w:customStyle="1">
    <w:name w:val="Works"/>
    <w:basedOn w:val="681"/>
    <w:link w:val="720"/>
    <w:pPr>
      <w:ind w:left="720" w:hanging="720"/>
      <w:spacing w:after="0" w:line="480" w:lineRule="auto"/>
    </w:pPr>
    <w:rPr>
      <w:rFonts w:ascii="Tahoma" w:hAnsi="Tahoma" w:cs="Tahoma"/>
      <w:color w:val="000000"/>
      <w:szCs w:val="24"/>
      <w:lang w:eastAsia="ru-RU" w:bidi="ru-RU"/>
    </w:rPr>
  </w:style>
  <w:style w:type="character" w:styleId="722" w:customStyle="1">
    <w:name w:val="Заголовок 1 Знак1"/>
    <w:basedOn w:val="683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23">
    <w:name w:val="footnote text"/>
    <w:basedOn w:val="681"/>
    <w:link w:val="72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4" w:customStyle="1">
    <w:name w:val="Текст сноски Знак"/>
    <w:basedOn w:val="683"/>
    <w:link w:val="723"/>
    <w:uiPriority w:val="99"/>
    <w:semiHidden/>
    <w:rPr>
      <w:sz w:val="20"/>
      <w:szCs w:val="20"/>
    </w:rPr>
  </w:style>
  <w:style w:type="character" w:styleId="725">
    <w:name w:val="footnote reference"/>
    <w:basedOn w:val="68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5ED8-174A-4DDE-BF4C-EB644A46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Абрамов</dc:creator>
  <cp:keywords/>
  <dc:description/>
  <cp:revision>38</cp:revision>
  <dcterms:created xsi:type="dcterms:W3CDTF">2024-01-08T04:08:00Z</dcterms:created>
  <dcterms:modified xsi:type="dcterms:W3CDTF">2024-01-17T06:37:34Z</dcterms:modified>
</cp:coreProperties>
</file>